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7198" w14:textId="77777777" w:rsidR="004532B0" w:rsidRDefault="00453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810"/>
        <w:gridCol w:w="1171"/>
        <w:gridCol w:w="989"/>
        <w:gridCol w:w="1706"/>
      </w:tblGrid>
      <w:tr w:rsidR="002C2B1D" w14:paraId="05E62A43" w14:textId="77777777" w:rsidTr="00793FC8">
        <w:tc>
          <w:tcPr>
            <w:tcW w:w="2065" w:type="dxa"/>
            <w:shd w:val="clear" w:color="auto" w:fill="E7E6E6" w:themeFill="background2"/>
          </w:tcPr>
          <w:p w14:paraId="31DDA6CA" w14:textId="77777777" w:rsidR="002C2B1D" w:rsidRDefault="002C2B1D">
            <w:r>
              <w:t xml:space="preserve">Facilitator: </w:t>
            </w:r>
          </w:p>
        </w:tc>
        <w:tc>
          <w:tcPr>
            <w:tcW w:w="7285" w:type="dxa"/>
            <w:gridSpan w:val="5"/>
          </w:tcPr>
          <w:p w14:paraId="1F5473AB" w14:textId="1015A013" w:rsidR="002C2B1D" w:rsidRDefault="00047885">
            <w:r>
              <w:t>Paul LeBlanc</w:t>
            </w:r>
          </w:p>
        </w:tc>
      </w:tr>
      <w:tr w:rsidR="002C2B1D" w14:paraId="01DBC2F9" w14:textId="77777777" w:rsidTr="00793FC8">
        <w:tc>
          <w:tcPr>
            <w:tcW w:w="2065" w:type="dxa"/>
            <w:shd w:val="clear" w:color="auto" w:fill="E7E6E6" w:themeFill="background2"/>
          </w:tcPr>
          <w:p w14:paraId="69EFF639" w14:textId="77777777" w:rsidR="002C2B1D" w:rsidRDefault="002C2B1D">
            <w:r>
              <w:t>Meeting Attendees:</w:t>
            </w:r>
          </w:p>
        </w:tc>
        <w:tc>
          <w:tcPr>
            <w:tcW w:w="7285" w:type="dxa"/>
            <w:gridSpan w:val="5"/>
          </w:tcPr>
          <w:p w14:paraId="28AABCF0" w14:textId="252D6914" w:rsidR="002C2B1D" w:rsidRDefault="00047885" w:rsidP="00DB0F51">
            <w:r>
              <w:t xml:space="preserve">Karen </w:t>
            </w:r>
            <w:proofErr w:type="spellStart"/>
            <w:r>
              <w:t>Tjapkes</w:t>
            </w:r>
            <w:proofErr w:type="spellEnd"/>
            <w:r>
              <w:t xml:space="preserve">, Laurie Craft, Heidi DeVries, Denise Price, Joshua Bernstein, James </w:t>
            </w:r>
            <w:proofErr w:type="spellStart"/>
            <w:r>
              <w:t>Hissong</w:t>
            </w:r>
            <w:proofErr w:type="spellEnd"/>
          </w:p>
          <w:p w14:paraId="7941EBDE" w14:textId="77777777" w:rsidR="00047885" w:rsidRDefault="00047885" w:rsidP="00DB0F51"/>
          <w:p w14:paraId="35C5D727" w14:textId="087C6F3B" w:rsidR="00047885" w:rsidRDefault="00047885" w:rsidP="00DB0F51">
            <w:r>
              <w:t xml:space="preserve">Staff: Emily </w:t>
            </w:r>
            <w:proofErr w:type="spellStart"/>
            <w:r>
              <w:t>Schichtel</w:t>
            </w:r>
            <w:proofErr w:type="spellEnd"/>
            <w:r>
              <w:t>, Wende Randall, Kyle Johnson</w:t>
            </w:r>
            <w:r w:rsidR="00041F24">
              <w:t>, Paul LeBlanc</w:t>
            </w:r>
          </w:p>
        </w:tc>
      </w:tr>
      <w:tr w:rsidR="00E132D5" w14:paraId="32AC2ED4" w14:textId="77777777" w:rsidTr="00793FC8">
        <w:tc>
          <w:tcPr>
            <w:tcW w:w="2065" w:type="dxa"/>
            <w:shd w:val="clear" w:color="auto" w:fill="E7E6E6" w:themeFill="background2"/>
          </w:tcPr>
          <w:p w14:paraId="66D368BA" w14:textId="391F1A54" w:rsidR="00E132D5" w:rsidRDefault="00E132D5">
            <w:r>
              <w:t>Time Convened:</w:t>
            </w:r>
          </w:p>
        </w:tc>
        <w:tc>
          <w:tcPr>
            <w:tcW w:w="2609" w:type="dxa"/>
          </w:tcPr>
          <w:p w14:paraId="57659019" w14:textId="52BD4276" w:rsidR="00E132D5" w:rsidRDefault="00047885" w:rsidP="009344F3">
            <w:r>
              <w:t>1:00</w:t>
            </w:r>
            <w:r w:rsidR="008E6A69">
              <w:t xml:space="preserve"> pm</w:t>
            </w:r>
          </w:p>
        </w:tc>
        <w:tc>
          <w:tcPr>
            <w:tcW w:w="1981" w:type="dxa"/>
            <w:gridSpan w:val="2"/>
            <w:shd w:val="clear" w:color="auto" w:fill="E7E6E6" w:themeFill="background2"/>
          </w:tcPr>
          <w:p w14:paraId="6E55E878" w14:textId="77777777" w:rsidR="00E132D5" w:rsidRDefault="00E132D5">
            <w:r>
              <w:t xml:space="preserve">Time Adjourned: </w:t>
            </w:r>
          </w:p>
        </w:tc>
        <w:tc>
          <w:tcPr>
            <w:tcW w:w="2695" w:type="dxa"/>
            <w:gridSpan w:val="2"/>
          </w:tcPr>
          <w:p w14:paraId="70C4382E" w14:textId="6D7FB761" w:rsidR="00E132D5" w:rsidRDefault="00047885">
            <w:r>
              <w:t xml:space="preserve">2:27 </w:t>
            </w:r>
            <w:r w:rsidR="008E6A69">
              <w:t>pm</w:t>
            </w:r>
          </w:p>
        </w:tc>
      </w:tr>
      <w:tr w:rsidR="00E132D5" w14:paraId="123ABFF2" w14:textId="77777777" w:rsidTr="00E132D5">
        <w:tc>
          <w:tcPr>
            <w:tcW w:w="4674" w:type="dxa"/>
            <w:gridSpan w:val="2"/>
            <w:tcBorders>
              <w:left w:val="nil"/>
              <w:right w:val="nil"/>
            </w:tcBorders>
          </w:tcPr>
          <w:p w14:paraId="128D4712" w14:textId="77777777" w:rsidR="00E132D5" w:rsidRDefault="00E132D5"/>
        </w:tc>
        <w:tc>
          <w:tcPr>
            <w:tcW w:w="4676" w:type="dxa"/>
            <w:gridSpan w:val="4"/>
            <w:tcBorders>
              <w:left w:val="nil"/>
              <w:bottom w:val="nil"/>
              <w:right w:val="nil"/>
            </w:tcBorders>
          </w:tcPr>
          <w:p w14:paraId="50EC3F07" w14:textId="77777777" w:rsidR="00E132D5" w:rsidRDefault="00E132D5"/>
        </w:tc>
      </w:tr>
      <w:tr w:rsidR="00E132D5" w14:paraId="46308960" w14:textId="77777777" w:rsidTr="00ED21B5">
        <w:tc>
          <w:tcPr>
            <w:tcW w:w="4674" w:type="dxa"/>
            <w:gridSpan w:val="2"/>
            <w:shd w:val="clear" w:color="auto" w:fill="97E6FF"/>
          </w:tcPr>
          <w:p w14:paraId="46E7F379" w14:textId="710514B5" w:rsidR="00E132D5" w:rsidRPr="00ED21B5" w:rsidRDefault="00047885" w:rsidP="00DA6439">
            <w:pPr>
              <w:rPr>
                <w:b/>
              </w:rPr>
            </w:pPr>
            <w:r>
              <w:rPr>
                <w:b/>
              </w:rPr>
              <w:t>Introductions and Process Review</w:t>
            </w:r>
          </w:p>
        </w:tc>
        <w:tc>
          <w:tcPr>
            <w:tcW w:w="4676" w:type="dxa"/>
            <w:gridSpan w:val="4"/>
            <w:shd w:val="clear" w:color="auto" w:fill="97E6FF"/>
          </w:tcPr>
          <w:p w14:paraId="4B7442B9" w14:textId="51AD32F7" w:rsidR="00E132D5" w:rsidRPr="00ED21B5" w:rsidRDefault="00047885" w:rsidP="00DA6439">
            <w:pPr>
              <w:rPr>
                <w:b/>
              </w:rPr>
            </w:pPr>
            <w:r>
              <w:rPr>
                <w:b/>
              </w:rPr>
              <w:t>Paul</w:t>
            </w:r>
          </w:p>
        </w:tc>
      </w:tr>
      <w:tr w:rsidR="00793FC8" w14:paraId="268EE2A8" w14:textId="77777777" w:rsidTr="00904190">
        <w:tc>
          <w:tcPr>
            <w:tcW w:w="9350" w:type="dxa"/>
            <w:gridSpan w:val="6"/>
            <w:shd w:val="clear" w:color="auto" w:fill="E7E6E6" w:themeFill="background2"/>
          </w:tcPr>
          <w:p w14:paraId="4F12FD5E" w14:textId="77777777" w:rsidR="00793FC8" w:rsidRDefault="00793FC8" w:rsidP="00DA6439">
            <w:r>
              <w:t>Discussion</w:t>
            </w:r>
          </w:p>
        </w:tc>
      </w:tr>
      <w:tr w:rsidR="00E132D5" w14:paraId="796E1069" w14:textId="77777777" w:rsidTr="00DA6439">
        <w:tc>
          <w:tcPr>
            <w:tcW w:w="9350" w:type="dxa"/>
            <w:gridSpan w:val="6"/>
          </w:tcPr>
          <w:p w14:paraId="5DD768FA" w14:textId="29A61B5E" w:rsidR="004128AB" w:rsidRDefault="00047885" w:rsidP="00047885">
            <w:r>
              <w:t>Paul started the meeting with introductions a</w:t>
            </w:r>
            <w:r w:rsidR="008A5E24">
              <w:t>nd a brief re</w:t>
            </w:r>
            <w:r>
              <w:t xml:space="preserve">cap of </w:t>
            </w:r>
            <w:r w:rsidR="008A5E24">
              <w:t>the process and key concepts</w:t>
            </w:r>
            <w:r>
              <w:t>.</w:t>
            </w:r>
            <w:r w:rsidR="004128AB">
              <w:t xml:space="preserve"> All members present completed Conflict of Interest Disclosures and turned them into Paul (</w:t>
            </w:r>
            <w:proofErr w:type="gramStart"/>
            <w:r w:rsidR="004128AB">
              <w:t>with the exception of</w:t>
            </w:r>
            <w:proofErr w:type="gramEnd"/>
            <w:r w:rsidR="004128AB">
              <w:t xml:space="preserve"> Laurie and Karen, who had previously completed Conflict of Interest Disclosures for their roles on the Steering Council).</w:t>
            </w:r>
            <w:r>
              <w:t xml:space="preserve"> </w:t>
            </w:r>
            <w:r w:rsidR="004128AB">
              <w:t>Paul reminded all committee members to turn in their scorecards for the DV Bonus project to Paul vi</w:t>
            </w:r>
            <w:r w:rsidR="00AF0FD6">
              <w:t>a</w:t>
            </w:r>
            <w:r w:rsidR="004128AB">
              <w:t xml:space="preserve"> email by 9 AM tomorrow (Wednesday, August 16, 2018).</w:t>
            </w:r>
            <w:r w:rsidR="002759E0">
              <w:t xml:space="preserve"> Laurie brought up some questions about how to score the New/Bonus Project Application, and Paul took down notes to help make the application </w:t>
            </w:r>
            <w:r w:rsidR="00AF0FD6">
              <w:t>clearer</w:t>
            </w:r>
            <w:r w:rsidR="002759E0">
              <w:t xml:space="preserve"> and objective for next year’s competition.</w:t>
            </w:r>
          </w:p>
          <w:p w14:paraId="41B1A304" w14:textId="77777777" w:rsidR="004128AB" w:rsidRDefault="004128AB" w:rsidP="00047885"/>
          <w:p w14:paraId="73699123" w14:textId="7568461F" w:rsidR="00047885" w:rsidRDefault="002759E0" w:rsidP="00047885">
            <w:r>
              <w:t xml:space="preserve">Paul presented </w:t>
            </w:r>
            <w:r w:rsidR="00047885">
              <w:t xml:space="preserve">a PowerPoint </w:t>
            </w:r>
            <w:r w:rsidR="008A5E24">
              <w:t xml:space="preserve">on </w:t>
            </w:r>
            <w:r w:rsidR="00047885">
              <w:t xml:space="preserve">how United Way and the </w:t>
            </w:r>
            <w:proofErr w:type="spellStart"/>
            <w:r w:rsidR="00047885">
              <w:t>CoC</w:t>
            </w:r>
            <w:proofErr w:type="spellEnd"/>
            <w:r w:rsidR="00047885">
              <w:t xml:space="preserve"> are connected and went over community goals</w:t>
            </w:r>
            <w:r w:rsidR="005C1575">
              <w:t>, priority populations, project types, and the duties of the Funding Review Committee</w:t>
            </w:r>
            <w:r w:rsidR="00047885">
              <w:t xml:space="preserve">. </w:t>
            </w:r>
            <w:r w:rsidR="008A5E24">
              <w:t>Paul went over the</w:t>
            </w:r>
            <w:r w:rsidR="00047885">
              <w:t xml:space="preserve"> two application types</w:t>
            </w:r>
            <w:r w:rsidR="008A5E24">
              <w:t xml:space="preserve"> for review this year (R</w:t>
            </w:r>
            <w:r w:rsidR="00047885">
              <w:t>enew</w:t>
            </w:r>
            <w:r w:rsidR="008A5E24">
              <w:t>al and Domestic Violence Bonus) and the funding available: ARD (Annual Renewal Demand)</w:t>
            </w:r>
            <w:r w:rsidR="00047885">
              <w:t xml:space="preserve"> </w:t>
            </w:r>
            <w:r w:rsidR="008A5E24">
              <w:t>of $</w:t>
            </w:r>
            <w:r w:rsidR="00047885">
              <w:t xml:space="preserve">5,517,588 and DV </w:t>
            </w:r>
            <w:r w:rsidR="008A5E24">
              <w:t>Bonus</w:t>
            </w:r>
            <w:r w:rsidR="00047885">
              <w:t xml:space="preserve"> </w:t>
            </w:r>
            <w:r w:rsidR="008A5E24">
              <w:t xml:space="preserve">total </w:t>
            </w:r>
            <w:r w:rsidR="005C1575">
              <w:t xml:space="preserve">available </w:t>
            </w:r>
            <w:r w:rsidR="008A5E24">
              <w:t xml:space="preserve">of </w:t>
            </w:r>
            <w:r w:rsidR="00047885">
              <w:t>$412,</w:t>
            </w:r>
            <w:r w:rsidR="00A560C1">
              <w:t>118</w:t>
            </w:r>
            <w:r w:rsidR="00047885">
              <w:t xml:space="preserve">. </w:t>
            </w:r>
            <w:r w:rsidR="008A5E24">
              <w:t>Participants reviewed and ranked the renewal projects to</w:t>
            </w:r>
            <w:r w:rsidR="00992D67">
              <w:t>day</w:t>
            </w:r>
            <w:r w:rsidR="008A5E24">
              <w:t xml:space="preserve"> and will review and rank the one DV bonus project received on Thursday, August 16</w:t>
            </w:r>
            <w:r w:rsidR="004128AB">
              <w:t>, 2018</w:t>
            </w:r>
            <w:r w:rsidR="008A5E24">
              <w:t>.</w:t>
            </w:r>
            <w:r w:rsidR="00047885">
              <w:t xml:space="preserve"> </w:t>
            </w:r>
            <w:r w:rsidR="008A5E24">
              <w:t>Final ranking order will be determined on Thursday.</w:t>
            </w:r>
          </w:p>
          <w:p w14:paraId="529A02E6" w14:textId="77777777" w:rsidR="00E132D5" w:rsidRDefault="00E132D5" w:rsidP="00DA6439"/>
        </w:tc>
      </w:tr>
      <w:tr w:rsidR="00793FC8" w14:paraId="416DC6ED" w14:textId="77777777" w:rsidTr="00904190">
        <w:tc>
          <w:tcPr>
            <w:tcW w:w="9350" w:type="dxa"/>
            <w:gridSpan w:val="6"/>
            <w:shd w:val="clear" w:color="auto" w:fill="E7E6E6" w:themeFill="background2"/>
          </w:tcPr>
          <w:p w14:paraId="0E788AB4" w14:textId="77777777" w:rsidR="00793FC8" w:rsidRDefault="00793FC8" w:rsidP="00DA6439">
            <w:r>
              <w:t>Conclusions</w:t>
            </w:r>
          </w:p>
        </w:tc>
      </w:tr>
      <w:tr w:rsidR="00E132D5" w14:paraId="4B4006C5" w14:textId="77777777" w:rsidTr="00DA6439">
        <w:tc>
          <w:tcPr>
            <w:tcW w:w="9350" w:type="dxa"/>
            <w:gridSpan w:val="6"/>
          </w:tcPr>
          <w:p w14:paraId="2B753A08" w14:textId="77777777" w:rsidR="00E132D5" w:rsidRDefault="00E132D5" w:rsidP="00DA6439"/>
        </w:tc>
      </w:tr>
      <w:tr w:rsidR="00E132D5" w14:paraId="3261EB6D" w14:textId="77777777" w:rsidTr="00904190">
        <w:tc>
          <w:tcPr>
            <w:tcW w:w="5484" w:type="dxa"/>
            <w:gridSpan w:val="3"/>
            <w:shd w:val="clear" w:color="auto" w:fill="E7E6E6" w:themeFill="background2"/>
          </w:tcPr>
          <w:p w14:paraId="72508071" w14:textId="77777777" w:rsidR="00E132D5" w:rsidRDefault="00E132D5" w:rsidP="00DA6439">
            <w:r>
              <w:t>Action Items</w:t>
            </w:r>
          </w:p>
        </w:tc>
        <w:tc>
          <w:tcPr>
            <w:tcW w:w="2160" w:type="dxa"/>
            <w:gridSpan w:val="2"/>
            <w:shd w:val="clear" w:color="auto" w:fill="E7E6E6" w:themeFill="background2"/>
          </w:tcPr>
          <w:p w14:paraId="155C56D4" w14:textId="77777777" w:rsidR="00E132D5" w:rsidRDefault="00E132D5" w:rsidP="00DA6439">
            <w:r>
              <w:t>Person Responsible</w:t>
            </w:r>
          </w:p>
        </w:tc>
        <w:tc>
          <w:tcPr>
            <w:tcW w:w="1706" w:type="dxa"/>
            <w:shd w:val="clear" w:color="auto" w:fill="E7E6E6" w:themeFill="background2"/>
          </w:tcPr>
          <w:p w14:paraId="127BCC86" w14:textId="77777777" w:rsidR="00E132D5" w:rsidRDefault="00E132D5" w:rsidP="00DA6439">
            <w:r>
              <w:t>Deadline</w:t>
            </w:r>
          </w:p>
        </w:tc>
      </w:tr>
      <w:tr w:rsidR="00E132D5" w14:paraId="010305F8" w14:textId="77777777" w:rsidTr="00E132D5">
        <w:tc>
          <w:tcPr>
            <w:tcW w:w="5484" w:type="dxa"/>
            <w:gridSpan w:val="3"/>
          </w:tcPr>
          <w:p w14:paraId="719177A8" w14:textId="77777777" w:rsidR="00E132D5" w:rsidRDefault="00E132D5" w:rsidP="00DA6439"/>
        </w:tc>
        <w:tc>
          <w:tcPr>
            <w:tcW w:w="2160" w:type="dxa"/>
            <w:gridSpan w:val="2"/>
          </w:tcPr>
          <w:p w14:paraId="74A857AC" w14:textId="77777777" w:rsidR="00E132D5" w:rsidRDefault="00E132D5" w:rsidP="00DA6439"/>
        </w:tc>
        <w:tc>
          <w:tcPr>
            <w:tcW w:w="1706" w:type="dxa"/>
          </w:tcPr>
          <w:p w14:paraId="79385432" w14:textId="77777777" w:rsidR="00E132D5" w:rsidRDefault="00E132D5" w:rsidP="00DA6439"/>
        </w:tc>
      </w:tr>
      <w:tr w:rsidR="00E132D5" w14:paraId="37AC6D70" w14:textId="77777777" w:rsidTr="00E132D5">
        <w:tc>
          <w:tcPr>
            <w:tcW w:w="5484" w:type="dxa"/>
            <w:gridSpan w:val="3"/>
          </w:tcPr>
          <w:p w14:paraId="6C089BAF" w14:textId="77777777" w:rsidR="00E132D5" w:rsidRDefault="00E132D5" w:rsidP="00DA6439"/>
        </w:tc>
        <w:tc>
          <w:tcPr>
            <w:tcW w:w="2160" w:type="dxa"/>
            <w:gridSpan w:val="2"/>
          </w:tcPr>
          <w:p w14:paraId="2149894E" w14:textId="77777777" w:rsidR="00E132D5" w:rsidRDefault="00E132D5" w:rsidP="00DA6439"/>
        </w:tc>
        <w:tc>
          <w:tcPr>
            <w:tcW w:w="1706" w:type="dxa"/>
          </w:tcPr>
          <w:p w14:paraId="1D25369A" w14:textId="77777777" w:rsidR="00E132D5" w:rsidRDefault="00E132D5" w:rsidP="00DA6439"/>
        </w:tc>
      </w:tr>
      <w:tr w:rsidR="00E132D5" w14:paraId="399B945A" w14:textId="77777777" w:rsidTr="00E132D5">
        <w:tc>
          <w:tcPr>
            <w:tcW w:w="5484" w:type="dxa"/>
            <w:gridSpan w:val="3"/>
          </w:tcPr>
          <w:p w14:paraId="6CEF4411" w14:textId="77777777" w:rsidR="00E132D5" w:rsidRDefault="00E132D5" w:rsidP="00DA6439"/>
        </w:tc>
        <w:tc>
          <w:tcPr>
            <w:tcW w:w="2160" w:type="dxa"/>
            <w:gridSpan w:val="2"/>
          </w:tcPr>
          <w:p w14:paraId="32132CF9" w14:textId="77777777" w:rsidR="00E132D5" w:rsidRDefault="00E132D5" w:rsidP="00DA6439"/>
        </w:tc>
        <w:tc>
          <w:tcPr>
            <w:tcW w:w="1706" w:type="dxa"/>
          </w:tcPr>
          <w:p w14:paraId="24B11C68" w14:textId="77777777" w:rsidR="00E132D5" w:rsidRDefault="00E132D5" w:rsidP="00DA6439"/>
        </w:tc>
      </w:tr>
      <w:tr w:rsidR="00E132D5" w14:paraId="7FEE1A09" w14:textId="77777777" w:rsidTr="00ED21B5">
        <w:tc>
          <w:tcPr>
            <w:tcW w:w="4674" w:type="dxa"/>
            <w:gridSpan w:val="2"/>
            <w:shd w:val="clear" w:color="auto" w:fill="97E6FF"/>
          </w:tcPr>
          <w:p w14:paraId="209720FB" w14:textId="0DD95BD3" w:rsidR="00E132D5" w:rsidRPr="00ED21B5" w:rsidRDefault="00047885" w:rsidP="00DA6439">
            <w:pPr>
              <w:rPr>
                <w:b/>
              </w:rPr>
            </w:pPr>
            <w:r>
              <w:rPr>
                <w:b/>
              </w:rPr>
              <w:t>Discussion Around Project Ranking</w:t>
            </w:r>
          </w:p>
        </w:tc>
        <w:tc>
          <w:tcPr>
            <w:tcW w:w="4676" w:type="dxa"/>
            <w:gridSpan w:val="4"/>
            <w:shd w:val="clear" w:color="auto" w:fill="97E6FF"/>
          </w:tcPr>
          <w:p w14:paraId="60D90051" w14:textId="66A458BC" w:rsidR="00E132D5" w:rsidRPr="00ED21B5" w:rsidRDefault="00E132D5" w:rsidP="00DA6439">
            <w:pPr>
              <w:rPr>
                <w:b/>
              </w:rPr>
            </w:pPr>
          </w:p>
        </w:tc>
      </w:tr>
      <w:tr w:rsidR="00793FC8" w14:paraId="2F06716E" w14:textId="77777777" w:rsidTr="00904190">
        <w:tc>
          <w:tcPr>
            <w:tcW w:w="9350" w:type="dxa"/>
            <w:gridSpan w:val="6"/>
            <w:shd w:val="clear" w:color="auto" w:fill="E7E6E6" w:themeFill="background2"/>
          </w:tcPr>
          <w:p w14:paraId="6C69B9B6" w14:textId="77777777" w:rsidR="00793FC8" w:rsidRDefault="00793FC8" w:rsidP="00DA6439">
            <w:r>
              <w:t>Discussion</w:t>
            </w:r>
          </w:p>
        </w:tc>
      </w:tr>
      <w:tr w:rsidR="00E132D5" w14:paraId="4AD9308F" w14:textId="77777777" w:rsidTr="00DA6439">
        <w:tc>
          <w:tcPr>
            <w:tcW w:w="9350" w:type="dxa"/>
            <w:gridSpan w:val="6"/>
          </w:tcPr>
          <w:p w14:paraId="5582A62C" w14:textId="28461319" w:rsidR="008A5E24" w:rsidRDefault="00992D67" w:rsidP="00047885">
            <w:r>
              <w:t xml:space="preserve">Paul presented a draft ranking order spreadsheet showing </w:t>
            </w:r>
            <w:r w:rsidR="0019245C">
              <w:t>renewal</w:t>
            </w:r>
            <w:r>
              <w:t xml:space="preserve"> projects ranked in order of highest-scoring to lowest-scoring (with Coordinated Entry, HAP, and HMIS projects ranked at the top of the list, per best practice). </w:t>
            </w:r>
            <w:r w:rsidR="00FF7D4F">
              <w:t xml:space="preserve">Renewal projects were previously scored by Kyle and Paul on Monday; </w:t>
            </w:r>
            <w:r w:rsidR="00FF7D4F">
              <w:t>Paul made clear that the renewal application contains objective criteria and is mostly based on project performance, which is reflected in the scores received by each project application.</w:t>
            </w:r>
            <w:r w:rsidR="00FF7D4F">
              <w:t xml:space="preserve"> </w:t>
            </w:r>
            <w:r>
              <w:t>Paul also included on the</w:t>
            </w:r>
            <w:r w:rsidR="00FF7D4F">
              <w:t xml:space="preserve"> draft ranking</w:t>
            </w:r>
            <w:r>
              <w:t xml:space="preserve"> spreadsheet </w:t>
            </w:r>
            <w:r w:rsidR="0019245C">
              <w:t xml:space="preserve">the following </w:t>
            </w:r>
            <w:r>
              <w:t>information</w:t>
            </w:r>
            <w:r w:rsidR="0019245C">
              <w:t xml:space="preserve"> for each project:</w:t>
            </w:r>
            <w:r>
              <w:t xml:space="preserve"> </w:t>
            </w:r>
            <w:r w:rsidR="0019245C">
              <w:t>total</w:t>
            </w:r>
            <w:r>
              <w:t xml:space="preserve"> number of units served in the last year</w:t>
            </w:r>
            <w:r w:rsidR="0019245C">
              <w:t>;</w:t>
            </w:r>
            <w:r>
              <w:t xml:space="preserve"> </w:t>
            </w:r>
            <w:r w:rsidR="0019245C">
              <w:t xml:space="preserve">which priority populations the project has </w:t>
            </w:r>
            <w:r w:rsidR="004128AB">
              <w:t>d</w:t>
            </w:r>
            <w:r w:rsidR="0019245C">
              <w:t xml:space="preserve">edicated and/or prioritized </w:t>
            </w:r>
            <w:r w:rsidR="0019245C">
              <w:lastRenderedPageBreak/>
              <w:t>units for;</w:t>
            </w:r>
            <w:r w:rsidR="004128AB">
              <w:t xml:space="preserve"> and </w:t>
            </w:r>
            <w:proofErr w:type="gramStart"/>
            <w:r w:rsidR="004128AB">
              <w:t>whether or not</w:t>
            </w:r>
            <w:proofErr w:type="gramEnd"/>
            <w:r w:rsidR="004128AB">
              <w:t xml:space="preserve"> the project was the only </w:t>
            </w:r>
            <w:proofErr w:type="spellStart"/>
            <w:r w:rsidR="004128AB">
              <w:t>CoC</w:t>
            </w:r>
            <w:proofErr w:type="spellEnd"/>
            <w:r w:rsidR="004128AB">
              <w:t xml:space="preserve">-funded project with dedicated and/or prioritized </w:t>
            </w:r>
            <w:r w:rsidR="0019245C">
              <w:t>units</w:t>
            </w:r>
            <w:r w:rsidR="004128AB">
              <w:t xml:space="preserve"> for a specific priority population. </w:t>
            </w:r>
            <w:r w:rsidR="00FC7F22">
              <w:t>This information was provided based on advi</w:t>
            </w:r>
            <w:r w:rsidR="00FF7D4F">
              <w:t xml:space="preserve">ce Paul received on factors take into consideration when determining ranking order (recommendation by Tina </w:t>
            </w:r>
            <w:r w:rsidR="0019245C">
              <w:t xml:space="preserve">Allen </w:t>
            </w:r>
            <w:r w:rsidR="00FF7D4F">
              <w:t xml:space="preserve">from Traverse City/Balance of State </w:t>
            </w:r>
            <w:proofErr w:type="spellStart"/>
            <w:r w:rsidR="00FF7D4F">
              <w:t>CoC</w:t>
            </w:r>
            <w:proofErr w:type="spellEnd"/>
            <w:r w:rsidR="00FF7D4F">
              <w:t xml:space="preserve">). </w:t>
            </w:r>
            <w:r w:rsidR="004128AB">
              <w:t>Paul also provided members with a spreadsheet giving brief summaries of each submitted project, copies of last year’</w:t>
            </w:r>
            <w:r w:rsidR="0019245C">
              <w:t xml:space="preserve">s priority ranking </w:t>
            </w:r>
            <w:r w:rsidR="004128AB">
              <w:t xml:space="preserve">document, </w:t>
            </w:r>
            <w:r w:rsidR="002759E0">
              <w:t xml:space="preserve">and </w:t>
            </w:r>
            <w:r w:rsidR="004128AB">
              <w:t xml:space="preserve">a </w:t>
            </w:r>
            <w:r w:rsidR="00350D62">
              <w:t>k</w:t>
            </w:r>
            <w:r w:rsidR="004128AB">
              <w:t xml:space="preserve">ey </w:t>
            </w:r>
            <w:r w:rsidR="00350D62">
              <w:t>t</w:t>
            </w:r>
            <w:r w:rsidR="004128AB">
              <w:t>erms sheet which included definitions and explanations of key terms and concepts.</w:t>
            </w:r>
            <w:r w:rsidR="00FF7D4F">
              <w:t xml:space="preserve"> </w:t>
            </w:r>
          </w:p>
          <w:p w14:paraId="100D71BE" w14:textId="3F92D533" w:rsidR="00053851" w:rsidRDefault="00053851" w:rsidP="00047885"/>
          <w:p w14:paraId="6E19BEF5" w14:textId="18C7EB3C" w:rsidR="000048C5" w:rsidRDefault="000048C5" w:rsidP="000048C5">
            <w:r>
              <w:t xml:space="preserve">Members examined the draft project ranking order and compared changes with last year’s ranking order. It was noted that </w:t>
            </w:r>
            <w:r>
              <w:t xml:space="preserve">Dwelling Place </w:t>
            </w:r>
            <w:proofErr w:type="gramStart"/>
            <w:r>
              <w:t>projects</w:t>
            </w:r>
            <w:proofErr w:type="gramEnd"/>
            <w:r>
              <w:t xml:space="preserve"> Commerce, Verne Barry, and Ferguson have moved up due to </w:t>
            </w:r>
            <w:r w:rsidR="00350D62">
              <w:t>those projects</w:t>
            </w:r>
            <w:r w:rsidR="003F4D89">
              <w:t xml:space="preserve"> now taking all referrals from</w:t>
            </w:r>
            <w:r>
              <w:t xml:space="preserve"> </w:t>
            </w:r>
            <w:r w:rsidR="003F4D89">
              <w:t>Coordinated Entry</w:t>
            </w:r>
            <w:r>
              <w:t xml:space="preserve">. </w:t>
            </w:r>
            <w:r>
              <w:t>The group agreed that the Tier 1 draft ranking order was satisfactory due to the “safe” nature of Tier 1 proj</w:t>
            </w:r>
            <w:r w:rsidR="00350D62">
              <w:t>ects</w:t>
            </w:r>
            <w:r>
              <w:t xml:space="preserve"> and decided to direct their focus to projects at the bottom of Tier 1 and those in Tier 2. </w:t>
            </w:r>
          </w:p>
          <w:p w14:paraId="033D9F6D" w14:textId="43064769" w:rsidR="000048C5" w:rsidRDefault="000048C5" w:rsidP="00047885"/>
          <w:p w14:paraId="288073EE" w14:textId="579EA27A" w:rsidR="003F4D89" w:rsidRDefault="00053851" w:rsidP="000048C5">
            <w:r>
              <w:t>There was discussion around how to rank ICCF’s PSH project, which in the preliminary ranking order was ranked in Tier 1 right above YWCA’s Project HEAL (renewal project), which was ranked at the bottom</w:t>
            </w:r>
            <w:r w:rsidR="00350D62">
              <w:t xml:space="preserve"> of the list</w:t>
            </w:r>
            <w:r>
              <w:t xml:space="preserve"> and split between Tier 1 and Tier 2. </w:t>
            </w:r>
            <w:r w:rsidR="00047885">
              <w:t xml:space="preserve">There was a discussion </w:t>
            </w:r>
            <w:r>
              <w:t>about</w:t>
            </w:r>
            <w:r w:rsidR="00047885">
              <w:t xml:space="preserve"> what types of people ICCF</w:t>
            </w:r>
            <w:r>
              <w:t>’s PSH project</w:t>
            </w:r>
            <w:r w:rsidR="00047885">
              <w:t xml:space="preserve"> serves (</w:t>
            </w:r>
            <w:r>
              <w:t>c</w:t>
            </w:r>
            <w:r w:rsidR="00047885">
              <w:t>hronic</w:t>
            </w:r>
            <w:r w:rsidR="00C137F7">
              <w:t xml:space="preserve">ally </w:t>
            </w:r>
            <w:r>
              <w:t>homeless</w:t>
            </w:r>
            <w:r w:rsidR="00047885">
              <w:t xml:space="preserve"> </w:t>
            </w:r>
            <w:r>
              <w:t>families</w:t>
            </w:r>
            <w:r w:rsidR="004227AA">
              <w:t xml:space="preserve">) and </w:t>
            </w:r>
            <w:r w:rsidR="00047885">
              <w:t>Project HEAL</w:t>
            </w:r>
            <w:r w:rsidR="004227AA">
              <w:t xml:space="preserve">’s project type (transitional housing). </w:t>
            </w:r>
            <w:r w:rsidR="00047885">
              <w:t>Chronic</w:t>
            </w:r>
            <w:r w:rsidR="00C137F7">
              <w:t xml:space="preserve">ally </w:t>
            </w:r>
            <w:r>
              <w:t>homeless</w:t>
            </w:r>
            <w:r w:rsidR="00047885">
              <w:t xml:space="preserve"> populations are a HUD priority</w:t>
            </w:r>
            <w:r>
              <w:t>,</w:t>
            </w:r>
            <w:r w:rsidR="00047885">
              <w:t xml:space="preserve"> while transitional housing is not </w:t>
            </w:r>
            <w:r>
              <w:t xml:space="preserve">a </w:t>
            </w:r>
            <w:r w:rsidR="00047885">
              <w:t>prioritized</w:t>
            </w:r>
            <w:r>
              <w:t xml:space="preserve"> project type</w:t>
            </w:r>
            <w:r w:rsidR="00047885">
              <w:t>.</w:t>
            </w:r>
            <w:r w:rsidR="003F4D89">
              <w:t xml:space="preserve"> It was noted that HUD does appear to be focusing on domestic violence populations this year due to the release of the DV bonus project</w:t>
            </w:r>
            <w:r w:rsidR="004227AA">
              <w:t>, and that Project HEAL serves domestic violence populations</w:t>
            </w:r>
            <w:r w:rsidR="003F4D89">
              <w:t>. It was also noted that past data discussions have revealed a small ne</w:t>
            </w:r>
            <w:r w:rsidR="00C137F7">
              <w:t xml:space="preserve">ed for services for chronically </w:t>
            </w:r>
            <w:r w:rsidR="003F4D89">
              <w:t xml:space="preserve">homeless families in the community (the population served by ICCF’s PSH project). </w:t>
            </w:r>
          </w:p>
          <w:p w14:paraId="19B92CB2" w14:textId="77777777" w:rsidR="003F4D89" w:rsidRDefault="00047885" w:rsidP="000048C5">
            <w:r>
              <w:t xml:space="preserve"> </w:t>
            </w:r>
          </w:p>
          <w:p w14:paraId="6C92E628" w14:textId="39970C8A" w:rsidR="000048C5" w:rsidRDefault="00053851" w:rsidP="000048C5">
            <w:r>
              <w:t xml:space="preserve">It was noted that </w:t>
            </w:r>
            <w:r w:rsidR="00047885">
              <w:t xml:space="preserve">ICCF has MSHDA vouchers when they cannot fill a unit with a </w:t>
            </w:r>
            <w:r>
              <w:t>c</w:t>
            </w:r>
            <w:r w:rsidR="00047885">
              <w:t>hronically homeless family</w:t>
            </w:r>
            <w:r>
              <w:t>, which serves as a supplementary funding source for the project</w:t>
            </w:r>
            <w:r w:rsidR="00047885">
              <w:t>.</w:t>
            </w:r>
            <w:r>
              <w:t xml:space="preserve"> It was also noted that ICCF’s PSH project has a relatively small budget ($36,425) compared with YWCA’s Proj</w:t>
            </w:r>
            <w:r w:rsidR="00C137F7">
              <w:t>ect HEAL project (</w:t>
            </w:r>
            <w:r>
              <w:t xml:space="preserve">total $399,368. Members also discussed </w:t>
            </w:r>
            <w:r w:rsidR="000048C5">
              <w:t xml:space="preserve">the similar number of units served by each project (19 for YWCA and 23 for ICCF) despite their difference in budget size. </w:t>
            </w:r>
            <w:r w:rsidR="000048C5">
              <w:t xml:space="preserve">Transitional housing is the most expensive </w:t>
            </w:r>
            <w:r w:rsidR="00C137F7">
              <w:t>type of project</w:t>
            </w:r>
            <w:r w:rsidR="000048C5">
              <w:t xml:space="preserve"> and some members </w:t>
            </w:r>
            <w:r w:rsidR="00C137F7">
              <w:t>expressed concern</w:t>
            </w:r>
            <w:r w:rsidR="000048C5">
              <w:t xml:space="preserve"> with the large amount of money </w:t>
            </w:r>
            <w:r w:rsidR="00C137F7">
              <w:t xml:space="preserve">spent by the project </w:t>
            </w:r>
            <w:r w:rsidR="000048C5">
              <w:t xml:space="preserve">relative to the small number of units. </w:t>
            </w:r>
            <w:r w:rsidR="00C137F7">
              <w:t xml:space="preserve">It was noted that </w:t>
            </w:r>
            <w:r w:rsidR="000048C5">
              <w:t>YWCA does</w:t>
            </w:r>
            <w:r w:rsidR="00C137F7">
              <w:t xml:space="preserve"> have some units outside of </w:t>
            </w:r>
            <w:proofErr w:type="spellStart"/>
            <w:r w:rsidR="00C137F7">
              <w:t>CoC</w:t>
            </w:r>
            <w:proofErr w:type="spellEnd"/>
            <w:r w:rsidR="00C137F7">
              <w:t>-</w:t>
            </w:r>
            <w:r w:rsidR="000048C5">
              <w:t>funded projects</w:t>
            </w:r>
            <w:r w:rsidR="00CC29C4">
              <w:t>, including permanent housing options.</w:t>
            </w:r>
          </w:p>
          <w:p w14:paraId="1040F61D" w14:textId="77777777" w:rsidR="000048C5" w:rsidRDefault="000048C5" w:rsidP="000048C5"/>
          <w:p w14:paraId="2E0F4B3F" w14:textId="7032D713" w:rsidR="000048C5" w:rsidRDefault="000048C5" w:rsidP="000048C5">
            <w:r>
              <w:t>Paul pulled up YWCA and ICCF’s renewal applications</w:t>
            </w:r>
            <w:r w:rsidR="003F4D89">
              <w:t xml:space="preserve"> on the projector</w:t>
            </w:r>
            <w:r>
              <w:t xml:space="preserve"> and the group compared their scoring and responses.</w:t>
            </w:r>
            <w:r w:rsidR="00FF7D4F">
              <w:t xml:space="preserve"> Both projects scored similarly (</w:t>
            </w:r>
            <w:r w:rsidR="00C137F7">
              <w:t xml:space="preserve">weighted score of </w:t>
            </w:r>
            <w:r w:rsidR="00FF7D4F">
              <w:t>54 for YWCA and 55 for ICCF</w:t>
            </w:r>
            <w:r w:rsidR="00C137F7">
              <w:t>, respectively</w:t>
            </w:r>
            <w:r w:rsidR="00FF7D4F">
              <w:t>).</w:t>
            </w:r>
            <w:r>
              <w:t xml:space="preserve"> According to the respective responses to question #13, </w:t>
            </w:r>
            <w:r w:rsidR="00FF7D4F">
              <w:t>if</w:t>
            </w:r>
            <w:r>
              <w:t xml:space="preserve"> the YWCA HEAL project</w:t>
            </w:r>
            <w:r w:rsidR="00C137F7">
              <w:t xml:space="preserve"> lost funding</w:t>
            </w:r>
            <w:r>
              <w:t>, 57 individuals would immediately lose housing</w:t>
            </w:r>
            <w:r w:rsidR="00C137F7">
              <w:t>, where</w:t>
            </w:r>
            <w:r>
              <w:t>as ICCF would result in no per</w:t>
            </w:r>
            <w:r>
              <w:t>sons immediately losing housing</w:t>
            </w:r>
            <w:r w:rsidR="00C137F7">
              <w:t xml:space="preserve"> (</w:t>
            </w:r>
            <w:r>
              <w:t>ICCF marked the s</w:t>
            </w:r>
            <w:r w:rsidR="00C137F7">
              <w:t xml:space="preserve">econd option on the list in question #13: </w:t>
            </w:r>
            <w:r>
              <w:t>“loss of funding would result in loss of housing options and could mean eventual displacement or increase in homelessness”).</w:t>
            </w:r>
          </w:p>
          <w:p w14:paraId="357E30D8" w14:textId="57230B03" w:rsidR="000048C5" w:rsidRDefault="000048C5" w:rsidP="00047885"/>
          <w:p w14:paraId="2E3CBD8C" w14:textId="11D38701" w:rsidR="00047885" w:rsidRDefault="00047885" w:rsidP="00047885">
            <w:r>
              <w:t>Karen suggest</w:t>
            </w:r>
            <w:r w:rsidR="00FF7D4F">
              <w:t>ed</w:t>
            </w:r>
            <w:r>
              <w:t xml:space="preserve"> moving ICCF to Tier 2 because of its </w:t>
            </w:r>
            <w:r w:rsidR="007A47F8">
              <w:t>lower performance</w:t>
            </w:r>
            <w:r>
              <w:t xml:space="preserve">, </w:t>
            </w:r>
            <w:r w:rsidR="00FF7D4F">
              <w:t>small budget</w:t>
            </w:r>
            <w:r>
              <w:t>,</w:t>
            </w:r>
            <w:r w:rsidR="007A47F8">
              <w:t xml:space="preserve"> </w:t>
            </w:r>
            <w:r w:rsidR="00FF7D4F">
              <w:t>the fact that other agencie</w:t>
            </w:r>
            <w:r w:rsidR="007A47F8">
              <w:t xml:space="preserve">s cover chronically </w:t>
            </w:r>
            <w:r w:rsidR="00FF7D4F">
              <w:t>homeless populations, the relatively small number of chronically</w:t>
            </w:r>
            <w:r w:rsidR="007A47F8">
              <w:t xml:space="preserve"> </w:t>
            </w:r>
            <w:r w:rsidR="00FF7D4F">
              <w:lastRenderedPageBreak/>
              <w:t>homeless families in the community, and the fact that ICCF has</w:t>
            </w:r>
            <w:r>
              <w:t xml:space="preserve"> </w:t>
            </w:r>
            <w:r w:rsidR="000048C5">
              <w:t>HCV</w:t>
            </w:r>
            <w:r>
              <w:t xml:space="preserve"> vouchers</w:t>
            </w:r>
            <w:r w:rsidR="000048C5">
              <w:t xml:space="preserve"> as supplemental support for clients</w:t>
            </w:r>
            <w:r>
              <w:t xml:space="preserve">. </w:t>
            </w:r>
            <w:r w:rsidR="00FF7D4F">
              <w:t xml:space="preserve">Paul changed the ranking order </w:t>
            </w:r>
            <w:r w:rsidR="00F4111A">
              <w:t>on the spreadsheet with the proposed change</w:t>
            </w:r>
            <w:r w:rsidR="000F4CEC">
              <w:t xml:space="preserve"> and shared this on the projector</w:t>
            </w:r>
            <w:r w:rsidR="00F4111A">
              <w:t xml:space="preserve"> to help members </w:t>
            </w:r>
            <w:proofErr w:type="gramStart"/>
            <w:r w:rsidR="00F4111A">
              <w:t>make a decision</w:t>
            </w:r>
            <w:proofErr w:type="gramEnd"/>
            <w:r w:rsidR="00FF7D4F">
              <w:t>. Paul provided members with an opportunity to voice opposition to this proposed change, but there was no opposition.</w:t>
            </w:r>
          </w:p>
          <w:p w14:paraId="1ABA62E5" w14:textId="77777777" w:rsidR="000048C5" w:rsidRDefault="000048C5" w:rsidP="00047885"/>
          <w:p w14:paraId="6B407F1F" w14:textId="69CD881E" w:rsidR="00047885" w:rsidRDefault="00047885" w:rsidP="00047885">
            <w:r>
              <w:t xml:space="preserve">Motion by Laurie to move ICCF to Tier 2 </w:t>
            </w:r>
            <w:r w:rsidR="00CA18A6">
              <w:t>(</w:t>
            </w:r>
            <w:r>
              <w:t>#17</w:t>
            </w:r>
            <w:r w:rsidR="00CA18A6">
              <w:t>)</w:t>
            </w:r>
            <w:r w:rsidR="000048C5">
              <w:t xml:space="preserve"> </w:t>
            </w:r>
            <w:r>
              <w:t xml:space="preserve">and put </w:t>
            </w:r>
            <w:r w:rsidR="000048C5">
              <w:t xml:space="preserve">the remaining Tier 1 funds into the portion of </w:t>
            </w:r>
            <w:r>
              <w:t>Project HEAL</w:t>
            </w:r>
            <w:r w:rsidR="000048C5">
              <w:t xml:space="preserve"> in Tier 1. S</w:t>
            </w:r>
            <w:r w:rsidR="00CA18A6">
              <w:t>upport by James.</w:t>
            </w:r>
            <w:r w:rsidR="00400C1C">
              <w:t xml:space="preserve"> All members agreed to the motion</w:t>
            </w:r>
            <w:r w:rsidR="00E61030">
              <w:t xml:space="preserve"> by acclamation</w:t>
            </w:r>
            <w:r w:rsidR="00400C1C">
              <w:t>, with no dissent.</w:t>
            </w:r>
            <w:bookmarkStart w:id="0" w:name="_GoBack"/>
            <w:bookmarkEnd w:id="0"/>
          </w:p>
          <w:p w14:paraId="253A5B9C" w14:textId="77777777" w:rsidR="00E132D5" w:rsidRDefault="00E132D5" w:rsidP="00DA6439"/>
        </w:tc>
      </w:tr>
      <w:tr w:rsidR="00793FC8" w14:paraId="7BDA3E23" w14:textId="77777777" w:rsidTr="00904190">
        <w:tc>
          <w:tcPr>
            <w:tcW w:w="9350" w:type="dxa"/>
            <w:gridSpan w:val="6"/>
            <w:shd w:val="clear" w:color="auto" w:fill="E7E6E6" w:themeFill="background2"/>
          </w:tcPr>
          <w:p w14:paraId="0928C355" w14:textId="77777777" w:rsidR="00793FC8" w:rsidRDefault="00793FC8" w:rsidP="00DA6439">
            <w:r>
              <w:lastRenderedPageBreak/>
              <w:t>Conclusions</w:t>
            </w:r>
          </w:p>
        </w:tc>
      </w:tr>
      <w:tr w:rsidR="00E132D5" w14:paraId="42F4E1D9" w14:textId="77777777" w:rsidTr="00DA6439">
        <w:tc>
          <w:tcPr>
            <w:tcW w:w="9350" w:type="dxa"/>
            <w:gridSpan w:val="6"/>
          </w:tcPr>
          <w:p w14:paraId="3168F400" w14:textId="1D0C224F" w:rsidR="00E132D5" w:rsidRDefault="00F24612" w:rsidP="00DA6439">
            <w:r>
              <w:t>Meeting was adjourned with reminder to turn in DV bonus scorecards by tomorrow at 9 AM. DV bonus project will be reviewed and ranked, and final ranking order will be determined at next meeting on Thursday, August 16, 2018 at 2 PM (at United Way).</w:t>
            </w:r>
          </w:p>
          <w:p w14:paraId="27D65298" w14:textId="77777777" w:rsidR="00F24612" w:rsidRDefault="00F24612" w:rsidP="00DA6439"/>
          <w:p w14:paraId="7E8EAFA2" w14:textId="22656B69" w:rsidR="00F24612" w:rsidRDefault="00F24612" w:rsidP="00DA6439"/>
        </w:tc>
      </w:tr>
      <w:tr w:rsidR="00E132D5" w14:paraId="1B59C4C9" w14:textId="77777777" w:rsidTr="00904190">
        <w:tc>
          <w:tcPr>
            <w:tcW w:w="5484" w:type="dxa"/>
            <w:gridSpan w:val="3"/>
            <w:shd w:val="clear" w:color="auto" w:fill="E7E6E6" w:themeFill="background2"/>
          </w:tcPr>
          <w:p w14:paraId="47890F62" w14:textId="77777777" w:rsidR="00E132D5" w:rsidRDefault="00E132D5" w:rsidP="00DA6439">
            <w:r>
              <w:t>Action Items</w:t>
            </w:r>
          </w:p>
        </w:tc>
        <w:tc>
          <w:tcPr>
            <w:tcW w:w="2160" w:type="dxa"/>
            <w:gridSpan w:val="2"/>
            <w:shd w:val="clear" w:color="auto" w:fill="E7E6E6" w:themeFill="background2"/>
          </w:tcPr>
          <w:p w14:paraId="701FFC5D" w14:textId="77777777" w:rsidR="00E132D5" w:rsidRDefault="00E132D5" w:rsidP="00DA6439">
            <w:r>
              <w:t>Person Responsible</w:t>
            </w:r>
          </w:p>
        </w:tc>
        <w:tc>
          <w:tcPr>
            <w:tcW w:w="1706" w:type="dxa"/>
            <w:shd w:val="clear" w:color="auto" w:fill="E7E6E6" w:themeFill="background2"/>
          </w:tcPr>
          <w:p w14:paraId="16216CDB" w14:textId="77777777" w:rsidR="00E132D5" w:rsidRDefault="00E132D5" w:rsidP="00DA6439">
            <w:r>
              <w:t>Deadline</w:t>
            </w:r>
          </w:p>
        </w:tc>
      </w:tr>
      <w:tr w:rsidR="00E132D5" w14:paraId="5A4F967E" w14:textId="77777777" w:rsidTr="00E132D5">
        <w:tc>
          <w:tcPr>
            <w:tcW w:w="5484" w:type="dxa"/>
            <w:gridSpan w:val="3"/>
          </w:tcPr>
          <w:p w14:paraId="5DDF0179" w14:textId="14215C7F" w:rsidR="00E132D5" w:rsidRDefault="00CA18A6" w:rsidP="00DA6439">
            <w:r>
              <w:t>Deliver DV Bonus Scores by 9 am August 15</w:t>
            </w:r>
          </w:p>
        </w:tc>
        <w:tc>
          <w:tcPr>
            <w:tcW w:w="2160" w:type="dxa"/>
            <w:gridSpan w:val="2"/>
          </w:tcPr>
          <w:p w14:paraId="4F487079" w14:textId="5EE6437C" w:rsidR="00E132D5" w:rsidRDefault="00CA18A6" w:rsidP="00DA6439">
            <w:r>
              <w:t>Funding Review Members</w:t>
            </w:r>
          </w:p>
        </w:tc>
        <w:tc>
          <w:tcPr>
            <w:tcW w:w="1706" w:type="dxa"/>
          </w:tcPr>
          <w:p w14:paraId="290FB2EA" w14:textId="2E3B7195" w:rsidR="00E132D5" w:rsidRDefault="00F64712" w:rsidP="00DA6439">
            <w:r>
              <w:t>9 AM – August 15, 2018</w:t>
            </w:r>
          </w:p>
        </w:tc>
      </w:tr>
      <w:tr w:rsidR="00E132D5" w14:paraId="51A2A4FA" w14:textId="77777777" w:rsidTr="00E132D5">
        <w:tc>
          <w:tcPr>
            <w:tcW w:w="5484" w:type="dxa"/>
            <w:gridSpan w:val="3"/>
          </w:tcPr>
          <w:p w14:paraId="3A4D57A9" w14:textId="77777777" w:rsidR="00E132D5" w:rsidRDefault="00E132D5" w:rsidP="00DA6439"/>
        </w:tc>
        <w:tc>
          <w:tcPr>
            <w:tcW w:w="2160" w:type="dxa"/>
            <w:gridSpan w:val="2"/>
          </w:tcPr>
          <w:p w14:paraId="4428B9D9" w14:textId="77777777" w:rsidR="00E132D5" w:rsidRDefault="00E132D5" w:rsidP="00DA6439"/>
        </w:tc>
        <w:tc>
          <w:tcPr>
            <w:tcW w:w="1706" w:type="dxa"/>
          </w:tcPr>
          <w:p w14:paraId="696E904C" w14:textId="77777777" w:rsidR="00E132D5" w:rsidRDefault="00E132D5" w:rsidP="00DA6439"/>
        </w:tc>
      </w:tr>
      <w:tr w:rsidR="00E132D5" w14:paraId="7E1B3898" w14:textId="77777777" w:rsidTr="00E132D5">
        <w:tc>
          <w:tcPr>
            <w:tcW w:w="5484" w:type="dxa"/>
            <w:gridSpan w:val="3"/>
          </w:tcPr>
          <w:p w14:paraId="679FDDD7" w14:textId="77777777" w:rsidR="00E132D5" w:rsidRDefault="00E132D5" w:rsidP="00DA6439"/>
        </w:tc>
        <w:tc>
          <w:tcPr>
            <w:tcW w:w="2160" w:type="dxa"/>
            <w:gridSpan w:val="2"/>
          </w:tcPr>
          <w:p w14:paraId="7B0E64D5" w14:textId="77777777" w:rsidR="00E132D5" w:rsidRDefault="00E132D5" w:rsidP="00DA6439"/>
        </w:tc>
        <w:tc>
          <w:tcPr>
            <w:tcW w:w="1706" w:type="dxa"/>
          </w:tcPr>
          <w:p w14:paraId="723F3683" w14:textId="77777777" w:rsidR="00E132D5" w:rsidRDefault="00E132D5" w:rsidP="00DA6439"/>
        </w:tc>
      </w:tr>
    </w:tbl>
    <w:p w14:paraId="4DEA9011" w14:textId="77777777" w:rsidR="002C2B1D" w:rsidRDefault="002C2B1D"/>
    <w:sectPr w:rsidR="002C2B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5F9F" w14:textId="77777777" w:rsidR="00517DC8" w:rsidRDefault="00517DC8" w:rsidP="002C2B1D">
      <w:pPr>
        <w:spacing w:after="0" w:line="240" w:lineRule="auto"/>
      </w:pPr>
      <w:r>
        <w:separator/>
      </w:r>
    </w:p>
  </w:endnote>
  <w:endnote w:type="continuationSeparator" w:id="0">
    <w:p w14:paraId="6ADCCAF5" w14:textId="77777777" w:rsidR="00517DC8" w:rsidRDefault="00517DC8" w:rsidP="002C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0531" w14:textId="77777777" w:rsidR="00517DC8" w:rsidRDefault="00517DC8" w:rsidP="002C2B1D">
      <w:pPr>
        <w:spacing w:after="0" w:line="240" w:lineRule="auto"/>
      </w:pPr>
      <w:r>
        <w:separator/>
      </w:r>
    </w:p>
  </w:footnote>
  <w:footnote w:type="continuationSeparator" w:id="0">
    <w:p w14:paraId="745C4DCE" w14:textId="77777777" w:rsidR="00517DC8" w:rsidRDefault="00517DC8" w:rsidP="002C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978B" w14:textId="77777777" w:rsidR="002C2B1D" w:rsidRDefault="002C2B1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CD8AE0" wp14:editId="0D55B395">
              <wp:simplePos x="0" y="0"/>
              <wp:positionH relativeFrom="column">
                <wp:posOffset>2257425</wp:posOffset>
              </wp:positionH>
              <wp:positionV relativeFrom="paragraph">
                <wp:posOffset>114300</wp:posOffset>
              </wp:positionV>
              <wp:extent cx="3924300" cy="933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15D7F" w14:textId="30962137" w:rsidR="002C2B1D" w:rsidRDefault="00047885" w:rsidP="002C2B1D">
                          <w:pPr>
                            <w:spacing w:after="0"/>
                            <w:rPr>
                              <w:b/>
                              <w:color w:val="58585A"/>
                              <w:sz w:val="28"/>
                            </w:rPr>
                          </w:pPr>
                          <w:r>
                            <w:rPr>
                              <w:b/>
                              <w:color w:val="58585A"/>
                              <w:sz w:val="28"/>
                            </w:rPr>
                            <w:t>Funding Review Committee</w:t>
                          </w:r>
                        </w:p>
                        <w:p w14:paraId="1B0C7687" w14:textId="77777777" w:rsidR="002C2B1D" w:rsidRPr="002C2B1D" w:rsidRDefault="002C2B1D" w:rsidP="002C2B1D">
                          <w:pPr>
                            <w:spacing w:after="0"/>
                            <w:rPr>
                              <w:b/>
                              <w:color w:val="58585A"/>
                              <w:sz w:val="28"/>
                            </w:rPr>
                          </w:pPr>
                          <w:r w:rsidRPr="002C2B1D">
                            <w:rPr>
                              <w:b/>
                              <w:color w:val="58585A"/>
                              <w:sz w:val="28"/>
                            </w:rPr>
                            <w:t>MEETING MINUTES</w:t>
                          </w:r>
                        </w:p>
                        <w:p w14:paraId="482BE506" w14:textId="2D461BEE" w:rsidR="002C2B1D" w:rsidRDefault="00047885" w:rsidP="002C2B1D">
                          <w:pPr>
                            <w:spacing w:after="0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August 14</w:t>
                          </w:r>
                          <w:r w:rsidR="008E6A69">
                            <w:rPr>
                              <w:rFonts w:asciiTheme="majorHAnsi" w:hAnsiTheme="majorHAnsi"/>
                              <w:sz w:val="24"/>
                            </w:rPr>
                            <w:t>, 2</w:t>
                          </w:r>
                          <w:r w:rsidR="00D967BE">
                            <w:rPr>
                              <w:rFonts w:asciiTheme="majorHAnsi" w:hAnsiTheme="majorHAnsi"/>
                              <w:sz w:val="24"/>
                            </w:rPr>
                            <w:t>018</w:t>
                          </w:r>
                        </w:p>
                        <w:p w14:paraId="56FDE015" w14:textId="1FEEDDCE" w:rsidR="002C2B1D" w:rsidRPr="002C2B1D" w:rsidRDefault="00047885" w:rsidP="002C2B1D">
                          <w:pPr>
                            <w:spacing w:after="0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1:00</w:t>
                          </w:r>
                          <w:r w:rsidR="00D967BE">
                            <w:rPr>
                              <w:rFonts w:asciiTheme="majorHAnsi" w:hAnsiTheme="majorHAnsi"/>
                              <w:sz w:val="24"/>
                            </w:rPr>
                            <w:t>-3:00</w:t>
                          </w:r>
                          <w:r w:rsidR="008E6A69">
                            <w:rPr>
                              <w:rFonts w:asciiTheme="majorHAnsi" w:hAnsiTheme="majorHAnsi"/>
                              <w:sz w:val="24"/>
                            </w:rPr>
                            <w:t>p</w:t>
                          </w:r>
                          <w:r w:rsidR="00217675">
                            <w:rPr>
                              <w:rFonts w:asciiTheme="majorHAnsi" w:hAnsiTheme="majorHAnsi"/>
                              <w:sz w:val="24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D8A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75pt;margin-top:9pt;width:309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0xIAIAAB0EAAAOAAAAZHJzL2Uyb0RvYy54bWysU21v2yAQ/j5p/wHxfbHjJGtjxam6dJkm&#10;dS9Sux+AMY7RgGNAYme/fgdO06j7VpUPiOOOh7vnnlvdDFqRg3BegqnodJJTIgyHRppdRX89bj9c&#10;U+IDMw1TYERFj8LTm/X7d6velqKADlQjHEEQ48veVrQLwZZZ5nknNPMTsMKgswWnWUDT7bLGsR7R&#10;tcqKPP+Y9eAa64AL7/H2bnTSdcJvW8HDj7b1IhBVUcwtpN2lvY57tl6xcueY7SQ/pcFekYVm0uCn&#10;Z6g7FhjZO/kflJbcgYc2TDjoDNpWcpFqwGqm+YtqHjpmRaoFyfH2TJN/O1j+/fDTEdlUtJheUWKY&#10;xiY9iiGQTzCQIvLTW19i2IPFwDDgNfY51ertPfDfnhjYdMzsxK1z0HeCNZjfNL7MLp6OOD6C1P03&#10;aPAbtg+QgIbW6Uge0kEQHft0PPcmpsLxcrYs5rMcXRx9y9lsvkjNy1j59No6H74I0CQeKuqw9wmd&#10;He59iNmw8ikkfuZByWYrlUqG29Ub5ciBoU62aaUCXoQpQ3r8fVEsErKB+D5JSMuAOlZSV/Q6j2tU&#10;VmTjs2lSSGBSjWfMRJkTPZGRkZsw1AMGRs5qaI5IlINRrzhfeOjA/aWkR61W1P/ZMycoUV8Nkr2c&#10;zudR3MmYL64KNNylp770MMMRqqKBkvG4CWkgIg8GbrEprUx8PWdyyhU1mGg8zUsU+aWdop6nev0P&#10;AAD//wMAUEsDBBQABgAIAAAAIQDRkvmK3QAAAAoBAAAPAAAAZHJzL2Rvd25yZXYueG1sTI/BTsMw&#10;EETvSPyDtUhcEHWgOGnTOBUggbi29AOceJtEjddR7Dbp37Oc4LgzT7MzxXZ2vbjgGDpPGp4WCQik&#10;2tuOGg2H74/HFYgQDVnTe0INVwywLW9vCpNbP9EOL/vYCA6hkBsNbYxDLmWoW3QmLPyAxN7Rj85E&#10;PsdG2tFMHO56+ZwkqXSmI/7QmgHfW6xP+7PTcPyaHtR6qj7jIdu9pG+myyp/1fr+bn7dgIg4xz8Y&#10;futzdSi5U+XPZIPoNSyVUoyyseJNDKyzJQsVC6lKQJaF/D+h/AEAAP//AwBQSwECLQAUAAYACAAA&#10;ACEAtoM4kv4AAADhAQAAEwAAAAAAAAAAAAAAAAAAAAAAW0NvbnRlbnRfVHlwZXNdLnhtbFBLAQIt&#10;ABQABgAIAAAAIQA4/SH/1gAAAJQBAAALAAAAAAAAAAAAAAAAAC8BAABfcmVscy8ucmVsc1BLAQIt&#10;ABQABgAIAAAAIQCVqX0xIAIAAB0EAAAOAAAAAAAAAAAAAAAAAC4CAABkcnMvZTJvRG9jLnhtbFBL&#10;AQItABQABgAIAAAAIQDRkvmK3QAAAAoBAAAPAAAAAAAAAAAAAAAAAHoEAABkcnMvZG93bnJldi54&#10;bWxQSwUGAAAAAAQABADzAAAAhAUAAAAA&#10;" stroked="f">
              <v:textbox>
                <w:txbxContent>
                  <w:p w14:paraId="00215D7F" w14:textId="30962137" w:rsidR="002C2B1D" w:rsidRDefault="00047885" w:rsidP="002C2B1D">
                    <w:pPr>
                      <w:spacing w:after="0"/>
                      <w:rPr>
                        <w:b/>
                        <w:color w:val="58585A"/>
                        <w:sz w:val="28"/>
                      </w:rPr>
                    </w:pPr>
                    <w:r>
                      <w:rPr>
                        <w:b/>
                        <w:color w:val="58585A"/>
                        <w:sz w:val="28"/>
                      </w:rPr>
                      <w:t>Funding Review Committee</w:t>
                    </w:r>
                  </w:p>
                  <w:p w14:paraId="1B0C7687" w14:textId="77777777" w:rsidR="002C2B1D" w:rsidRPr="002C2B1D" w:rsidRDefault="002C2B1D" w:rsidP="002C2B1D">
                    <w:pPr>
                      <w:spacing w:after="0"/>
                      <w:rPr>
                        <w:b/>
                        <w:color w:val="58585A"/>
                        <w:sz w:val="28"/>
                      </w:rPr>
                    </w:pPr>
                    <w:r w:rsidRPr="002C2B1D">
                      <w:rPr>
                        <w:b/>
                        <w:color w:val="58585A"/>
                        <w:sz w:val="28"/>
                      </w:rPr>
                      <w:t>MEETING MINUTES</w:t>
                    </w:r>
                  </w:p>
                  <w:p w14:paraId="482BE506" w14:textId="2D461BEE" w:rsidR="002C2B1D" w:rsidRDefault="00047885" w:rsidP="002C2B1D">
                    <w:pPr>
                      <w:spacing w:after="0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>August 14</w:t>
                    </w:r>
                    <w:r w:rsidR="008E6A69">
                      <w:rPr>
                        <w:rFonts w:asciiTheme="majorHAnsi" w:hAnsiTheme="majorHAnsi"/>
                        <w:sz w:val="24"/>
                      </w:rPr>
                      <w:t>, 2</w:t>
                    </w:r>
                    <w:r w:rsidR="00D967BE">
                      <w:rPr>
                        <w:rFonts w:asciiTheme="majorHAnsi" w:hAnsiTheme="majorHAnsi"/>
                        <w:sz w:val="24"/>
                      </w:rPr>
                      <w:t>018</w:t>
                    </w:r>
                  </w:p>
                  <w:p w14:paraId="56FDE015" w14:textId="1FEEDDCE" w:rsidR="002C2B1D" w:rsidRPr="002C2B1D" w:rsidRDefault="00047885" w:rsidP="002C2B1D">
                    <w:pPr>
                      <w:spacing w:after="0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>1:00</w:t>
                    </w:r>
                    <w:r w:rsidR="00D967BE">
                      <w:rPr>
                        <w:rFonts w:asciiTheme="majorHAnsi" w:hAnsiTheme="majorHAnsi"/>
                        <w:sz w:val="24"/>
                      </w:rPr>
                      <w:t>-3:00</w:t>
                    </w:r>
                    <w:r w:rsidR="008E6A69">
                      <w:rPr>
                        <w:rFonts w:asciiTheme="majorHAnsi" w:hAnsiTheme="majorHAnsi"/>
                        <w:sz w:val="24"/>
                      </w:rPr>
                      <w:t>p</w:t>
                    </w:r>
                    <w:r w:rsidR="00217675">
                      <w:rPr>
                        <w:rFonts w:asciiTheme="majorHAnsi" w:hAnsiTheme="majorHAnsi"/>
                        <w:sz w:val="24"/>
                      </w:rPr>
                      <w:t>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BD70670" wp14:editId="731ED013">
          <wp:extent cx="1232497" cy="1308735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_AreaCoalitiontoEndHomelessness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17" cy="139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2925"/>
    <w:multiLevelType w:val="hybridMultilevel"/>
    <w:tmpl w:val="716E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1D"/>
    <w:rsid w:val="000048C5"/>
    <w:rsid w:val="00041F24"/>
    <w:rsid w:val="00047885"/>
    <w:rsid w:val="00053851"/>
    <w:rsid w:val="000F0591"/>
    <w:rsid w:val="000F4CEC"/>
    <w:rsid w:val="001175FC"/>
    <w:rsid w:val="00126195"/>
    <w:rsid w:val="0017411D"/>
    <w:rsid w:val="0019245C"/>
    <w:rsid w:val="00217675"/>
    <w:rsid w:val="002759E0"/>
    <w:rsid w:val="002C2B1D"/>
    <w:rsid w:val="002D7FD1"/>
    <w:rsid w:val="00350D62"/>
    <w:rsid w:val="003F4D89"/>
    <w:rsid w:val="00400C1C"/>
    <w:rsid w:val="004128AB"/>
    <w:rsid w:val="00421F18"/>
    <w:rsid w:val="004227AA"/>
    <w:rsid w:val="004532B0"/>
    <w:rsid w:val="004D2D20"/>
    <w:rsid w:val="004E7BA8"/>
    <w:rsid w:val="00517DC8"/>
    <w:rsid w:val="005C1575"/>
    <w:rsid w:val="00751F21"/>
    <w:rsid w:val="00793FC8"/>
    <w:rsid w:val="007A47F8"/>
    <w:rsid w:val="008A5E24"/>
    <w:rsid w:val="008B37E3"/>
    <w:rsid w:val="008E6A69"/>
    <w:rsid w:val="008F1379"/>
    <w:rsid w:val="00904190"/>
    <w:rsid w:val="009344F3"/>
    <w:rsid w:val="00992D67"/>
    <w:rsid w:val="00A560C1"/>
    <w:rsid w:val="00A75E0D"/>
    <w:rsid w:val="00AF0FD6"/>
    <w:rsid w:val="00C00E79"/>
    <w:rsid w:val="00C137F7"/>
    <w:rsid w:val="00CA18A6"/>
    <w:rsid w:val="00CC29C4"/>
    <w:rsid w:val="00D810FD"/>
    <w:rsid w:val="00D967BE"/>
    <w:rsid w:val="00DB0F51"/>
    <w:rsid w:val="00E132D5"/>
    <w:rsid w:val="00E61030"/>
    <w:rsid w:val="00ED21B5"/>
    <w:rsid w:val="00F24612"/>
    <w:rsid w:val="00F4111A"/>
    <w:rsid w:val="00F64712"/>
    <w:rsid w:val="00F772C9"/>
    <w:rsid w:val="00FC7F22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C0F564"/>
  <w15:chartTrackingRefBased/>
  <w15:docId w15:val="{914400A2-654B-430D-81E8-CD90C44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1D"/>
  </w:style>
  <w:style w:type="paragraph" w:styleId="Footer">
    <w:name w:val="footer"/>
    <w:basedOn w:val="Normal"/>
    <w:link w:val="FooterChar"/>
    <w:uiPriority w:val="99"/>
    <w:unhideWhenUsed/>
    <w:rsid w:val="002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1D"/>
  </w:style>
  <w:style w:type="table" w:styleId="TableGrid">
    <w:name w:val="Table Grid"/>
    <w:basedOn w:val="TableNormal"/>
    <w:uiPriority w:val="39"/>
    <w:rsid w:val="002C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Vail</dc:creator>
  <cp:keywords/>
  <dc:description/>
  <cp:lastModifiedBy>Paul LeBlanc</cp:lastModifiedBy>
  <cp:revision>23</cp:revision>
  <dcterms:created xsi:type="dcterms:W3CDTF">2018-08-15T17:12:00Z</dcterms:created>
  <dcterms:modified xsi:type="dcterms:W3CDTF">2018-08-15T18:09:00Z</dcterms:modified>
</cp:coreProperties>
</file>